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{{@date}}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Wage Determination Notification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Job No. {{WDRRequestID}}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{{TaskOrderProjectNumber}} - {{ProjectTitle}}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{{ConstructionRepairLocation.Name}}{{ServiceLocation.Name}}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{{VendorAwardeeContractorFromContract.value}}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Dear: {{RequesterName.EmployeeID}} - {{RequestingDepartment.id}}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to advise you that the listed wage determination is to be used with the mentioned task number: {{TaskOrderProjectNumber}}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Job Name: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{{ProjectTitle}}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Introduction.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U.S. Department of Labor (DOL) is responsible for determining prevailing wage rates for construction work pursuant to the Davis-Bacon Act and publishes schedules of these wages in Davis-Bacon wage decisions. DOL regulations pertaining to the determination, publication, use and effectiveness of Davis-Bacon wage decisions (also known as wage determinations) are found at 29 CFR Part 1. A copy of these regulations is found at Appendix II-4 in this Handbook.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said wage determination is approved by {{AssignedLCSpecialist.EmployeeID}}, Contract Compliance Specialist.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any questions or concerns please contact me {{AssignedLCSpecialist.PhoneNumber}} or at {{AssignedLCSpecialist.Email}}.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  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Contract Compliance Specialist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28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-933445</wp:posOffset>
              </wp:positionH>
              <wp:positionV relativeFrom="paragraph">
                <wp:posOffset>352425</wp:posOffset>
              </wp:positionV>
              <wp:extent cx="7810500" cy="30003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41200" y="3601650"/>
                        <a:ext cx="9609600" cy="356700"/>
                      </a:xfrm>
                      <a:prstGeom prst="rect">
                        <a:avLst/>
                      </a:prstGeom>
                      <a:solidFill>
                        <a:srgbClr val="0FA2E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-933445</wp:posOffset>
              </wp:positionH>
              <wp:positionV relativeFrom="paragraph">
                <wp:posOffset>352425</wp:posOffset>
              </wp:positionV>
              <wp:extent cx="7810500" cy="30003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0500" cy="3000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680"/>
        <w:tab w:val="right" w:leader="none" w:pos="9360"/>
      </w:tabs>
      <w:spacing w:line="240" w:lineRule="auto"/>
      <w:ind w:left="-630" w:firstLine="0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795338</wp:posOffset>
          </wp:positionH>
          <wp:positionV relativeFrom="page">
            <wp:posOffset>442913</wp:posOffset>
          </wp:positionV>
          <wp:extent cx="6262688" cy="126006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2688" cy="1260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-28571</wp:posOffset>
              </wp:positionH>
              <wp:positionV relativeFrom="page">
                <wp:posOffset>-9522</wp:posOffset>
              </wp:positionV>
              <wp:extent cx="7810500" cy="300038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41200" y="3601650"/>
                        <a:ext cx="9609600" cy="356700"/>
                      </a:xfrm>
                      <a:prstGeom prst="rect">
                        <a:avLst/>
                      </a:prstGeom>
                      <a:solidFill>
                        <a:srgbClr val="0FA2E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-28571</wp:posOffset>
              </wp:positionH>
              <wp:positionV relativeFrom="page">
                <wp:posOffset>-9522</wp:posOffset>
              </wp:positionV>
              <wp:extent cx="7810500" cy="300038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0500" cy="3000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Xxmx5xwMW/Nn4QOel6k/Ya/nA==">CgMxLjA4AHIhMWt2NkdsNm9CMG03M203Wl9YUGNna3loQUlURk5ndTBI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